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9D6" w:rsidRPr="0060231B" w:rsidRDefault="00E519D6" w:rsidP="00E519D6">
      <w:pPr>
        <w:widowControl w:val="0"/>
        <w:autoSpaceDE w:val="0"/>
        <w:autoSpaceDN w:val="0"/>
        <w:adjustRightInd w:val="0"/>
        <w:spacing w:after="0" w:line="240" w:lineRule="auto"/>
        <w:ind w:left="6520"/>
        <w:contextualSpacing/>
        <w:outlineLvl w:val="0"/>
        <w:rPr>
          <w:rFonts w:ascii="Times New Roman" w:hAnsi="Times New Roman"/>
          <w:sz w:val="28"/>
          <w:szCs w:val="28"/>
        </w:rPr>
      </w:pPr>
      <w:r w:rsidRPr="0060231B">
        <w:rPr>
          <w:rFonts w:ascii="Times New Roman" w:hAnsi="Times New Roman"/>
          <w:sz w:val="28"/>
          <w:szCs w:val="28"/>
        </w:rPr>
        <w:t xml:space="preserve">Утверждена </w:t>
      </w:r>
    </w:p>
    <w:p w:rsidR="00E519D6" w:rsidRPr="0060231B" w:rsidRDefault="00E519D6" w:rsidP="00E519D6">
      <w:pPr>
        <w:widowControl w:val="0"/>
        <w:autoSpaceDE w:val="0"/>
        <w:autoSpaceDN w:val="0"/>
        <w:adjustRightInd w:val="0"/>
        <w:spacing w:after="0" w:line="240" w:lineRule="auto"/>
        <w:ind w:left="6520"/>
        <w:contextualSpacing/>
        <w:outlineLvl w:val="0"/>
        <w:rPr>
          <w:rFonts w:ascii="Times New Roman" w:hAnsi="Times New Roman"/>
          <w:sz w:val="28"/>
          <w:szCs w:val="28"/>
        </w:rPr>
      </w:pPr>
      <w:r w:rsidRPr="0060231B">
        <w:rPr>
          <w:rFonts w:ascii="Times New Roman" w:hAnsi="Times New Roman"/>
          <w:sz w:val="28"/>
          <w:szCs w:val="28"/>
        </w:rPr>
        <w:t>Постановлением</w:t>
      </w:r>
      <w:r w:rsidR="00D2619A">
        <w:rPr>
          <w:rFonts w:ascii="Times New Roman" w:hAnsi="Times New Roman"/>
          <w:sz w:val="28"/>
          <w:szCs w:val="28"/>
        </w:rPr>
        <w:t xml:space="preserve"> </w:t>
      </w:r>
      <w:r w:rsidRPr="0060231B">
        <w:rPr>
          <w:rFonts w:ascii="Times New Roman" w:hAnsi="Times New Roman"/>
          <w:sz w:val="28"/>
          <w:szCs w:val="28"/>
        </w:rPr>
        <w:t xml:space="preserve">Правительства </w:t>
      </w:r>
      <w:r w:rsidR="00D2619A">
        <w:rPr>
          <w:rFonts w:ascii="Times New Roman" w:hAnsi="Times New Roman"/>
          <w:sz w:val="28"/>
          <w:szCs w:val="28"/>
        </w:rPr>
        <w:t>Ярославской области</w:t>
      </w:r>
      <w:r w:rsidRPr="0060231B">
        <w:rPr>
          <w:rFonts w:ascii="Times New Roman" w:hAnsi="Times New Roman"/>
          <w:sz w:val="28"/>
          <w:szCs w:val="28"/>
        </w:rPr>
        <w:t xml:space="preserve"> </w:t>
      </w:r>
    </w:p>
    <w:p w:rsidR="005E4323" w:rsidRPr="005E4323" w:rsidRDefault="00D2619A" w:rsidP="00D2619A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="Times New Roman" w:hAnsi="Times New Roman" w:cs="Times New Roman"/>
          <w:b/>
          <w:spacing w:val="-4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19.03.2024 № 311-п </w:t>
      </w:r>
    </w:p>
    <w:p w:rsidR="005E4323" w:rsidRPr="005E4323" w:rsidRDefault="005E4323" w:rsidP="005E4323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4"/>
        </w:rPr>
      </w:pPr>
    </w:p>
    <w:p w:rsidR="005E4323" w:rsidRPr="005E4323" w:rsidRDefault="00D2619A" w:rsidP="005E4323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b/>
          <w:spacing w:val="-4"/>
          <w:sz w:val="28"/>
          <w:szCs w:val="24"/>
        </w:rPr>
        <w:t xml:space="preserve">МЕТОДИКА </w:t>
      </w:r>
    </w:p>
    <w:p w:rsidR="005E4323" w:rsidRPr="005E4323" w:rsidRDefault="00D2619A" w:rsidP="005E4323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b/>
          <w:spacing w:val="-4"/>
          <w:sz w:val="28"/>
          <w:szCs w:val="24"/>
        </w:rPr>
        <w:t>РАСПРЕДЕЛЕНИЯ И ПРАВИЛА ПРЕДОСТАВЛЕНИЯ ИНЫХ МЕЖБЮДЖЕТНЫХ ТРАНСФЕРТОВ НА БЛАГОУСТРОЙСТВО ИСТОРИЧЕСКИХ ЦЕНТРОВ ГОРОДОВ</w:t>
      </w: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0" w:name="sub_1003401"/>
      <w:r w:rsidRPr="005E4323">
        <w:rPr>
          <w:rFonts w:ascii="Times New Roman" w:eastAsia="Times New Roman" w:hAnsi="Times New Roman" w:cs="Times New Roman"/>
          <w:sz w:val="28"/>
          <w:szCs w:val="24"/>
        </w:rPr>
        <w:t>1. Методика распределения и правила предоставления иных межбюджетных трансфертов на благоустройство исторических центров городов (далее – Методика и правила) разработаны в соответствии со статьей 139.1 Бюджетного кодекса Российской Федерации, статьей 8 Закона Ярославской области от 7 октября 2008 г. № 40-з «О межбюджетных отношениях» и устанавливают порядок предоставления иных межбюджетных трансфертов на благоустройство исторических центров городов (далее – иные межбюджетные трансферты).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Предоставление иных межбюджетных трансфертов осуществляется в рамках ведомственного проекта «Благоустройство исторических центров городов» государственной программы Ярославской области «Формирование современной городской среды муниципальных образований на территории Ярославской области» на 2024 – 2030 годы</w:t>
      </w:r>
      <w:bookmarkStart w:id="1" w:name="sub_1003402"/>
      <w:bookmarkEnd w:id="0"/>
      <w:r w:rsidRPr="005E432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2. Иные межбюджетные трансферты</w:t>
      </w:r>
      <w:r w:rsidRPr="005E4323">
        <w:rPr>
          <w:rFonts w:ascii="Times New Roman" w:eastAsia="Times New Roman" w:hAnsi="Times New Roman" w:cs="Calibri"/>
          <w:sz w:val="28"/>
        </w:rPr>
        <w:t xml:space="preserve">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предоставляются для финансирования мероприятий по благоустройству</w:t>
      </w:r>
      <w:bookmarkStart w:id="2" w:name="sub_1003403"/>
      <w:bookmarkEnd w:id="1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исторических центров городов с численностью населения от 500 тыс. человек.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3. Иные межбюджетные трансферты предусмотрены на финансирование расходных обязательств муниципальных образований Ярославской области (далее – муниципальные образования), возникающих при реализации мероприятий по благоустройству исторических центров городов, включенных в государственную программу</w:t>
      </w:r>
      <w:r w:rsidRPr="005E4323">
        <w:rPr>
          <w:rFonts w:ascii="Times New Roman" w:eastAsia="Times New Roman" w:hAnsi="Times New Roman" w:cs="Calibri"/>
          <w:sz w:val="28"/>
        </w:rPr>
        <w:t xml:space="preserve">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Ярославской области «Формирование современной городской среды муниципальных образований на территории Ярославской области» на 2024 – 2030 годы. 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Иные межбюджетные трансферты расходуются: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на разработку проектно-сметной документации;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на работы по благоустройству исторических центров городов.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Расходование иных межбюджетных трансфертов осуществляется в том числе: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путем закупки товаров, работ и услуг для обеспечения муниципальных нужд;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4323">
        <w:rPr>
          <w:rFonts w:ascii="Times New Roman" w:eastAsia="Times New Roman" w:hAnsi="Times New Roman" w:cs="Calibri"/>
          <w:sz w:val="28"/>
          <w:szCs w:val="28"/>
        </w:rPr>
        <w:t>путем предоставления субсидий бюджетным и автономным учреждениям, в том числе на финансовое обеспечение выполнения ими муниципального задания.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lastRenderedPageBreak/>
        <w:t>4. Иные межбюджетные трансферты предоставляются в целях обеспечения реализации мероприятий</w:t>
      </w: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по благоустройству исторических центров городов.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3" w:name="sub_1003404"/>
      <w:bookmarkEnd w:id="2"/>
      <w:r w:rsidRPr="005E4323">
        <w:rPr>
          <w:rFonts w:ascii="Times New Roman" w:eastAsia="Times New Roman" w:hAnsi="Times New Roman" w:cs="Times New Roman"/>
          <w:sz w:val="28"/>
          <w:szCs w:val="24"/>
        </w:rPr>
        <w:t>5. Условия предоставления и расходования иных межбюджетных трансфертов:</w:t>
      </w:r>
    </w:p>
    <w:bookmarkEnd w:id="3"/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наличие соглашения о предоставлении иных межбюджетных трансфертов (далее – соглашение), заключенного между министерством строительства и жилищно-коммунального хозяйства Ярославской области (</w:t>
      </w:r>
      <w:proofErr w:type="gramStart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далее  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МСиЖКХ</w:t>
      </w:r>
      <w:proofErr w:type="spellEnd"/>
      <w:proofErr w:type="gramEnd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ЯО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), являющимся главным распорядителем бюджетных средств, и администрациями муниципальных образований – получателей иных межбюджетных трансфертов (далее – получатели);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наличие муниципальных программ формирования комфортной городской среды;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соблюдение целевого назначения расходования иных межбюджетных трансфертов;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выполнение требований к результатам предоставления иных межбюджетных трансфертов, установленных пунктом 10 Методики и правил, требований к срокам, порядку и формам представления отчетности об использовании иных межбюджетных трансфертов, установленных пунктом 13 Методики и правил;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- возврат получателем в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результата предоставления иных межбюджетных трансфертов. 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6. Расчет размера иных межбюджетных трансфертов, предоставляемых муниципальным образованиям (С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>МО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), осуществляется по формуле: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С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>МО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= </w:t>
      </w:r>
      <w:r w:rsidRPr="005E4323">
        <w:rPr>
          <w:rFonts w:ascii="Times New Roman" w:eastAsia="Times New Roman" w:hAnsi="Times New Roman" w:cs="Times New Roman"/>
          <w:sz w:val="28"/>
          <w:szCs w:val="24"/>
          <w:lang w:val="en-US"/>
        </w:rPr>
        <w:t>V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× 100 %,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r w:rsidRPr="005E4323">
        <w:rPr>
          <w:rFonts w:ascii="Times New Roman" w:eastAsia="Times New Roman" w:hAnsi="Times New Roman" w:cs="Times New Roman"/>
          <w:sz w:val="28"/>
          <w:szCs w:val="24"/>
          <w:lang w:val="en-US"/>
        </w:rPr>
        <w:t>V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 xml:space="preserve">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– объем средств консолидированного бюджета на реализацию мероприятий по благоустройству исторических центров городов.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7. Уровень финансирования расходного обязательства муниципального образования за счет иных межбюджетных трансфертов из областного бюджета устанавливается в</w:t>
      </w:r>
      <w:r w:rsidR="00D2619A">
        <w:rPr>
          <w:rFonts w:ascii="Times New Roman" w:eastAsia="Times New Roman" w:hAnsi="Times New Roman" w:cs="Times New Roman"/>
          <w:sz w:val="28"/>
          <w:szCs w:val="24"/>
        </w:rPr>
        <w:t xml:space="preserve"> размере 100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процентов.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В случае если сметная стоимость ведомственного проекта «Благоустройство исторических центров городов» в целом превышает сумму иного межбюджетного трансферта из областного бюджета, разница компенсируется за счет средств бюджета муниципального образования.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8. Распределение иных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9. Иные межбюджетные трансферты предоставляются на основании соглашения, заключенного</w:t>
      </w:r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в государственной информационной системе «Электронн</w:t>
      </w:r>
      <w:r w:rsidR="00D2619A">
        <w:rPr>
          <w:rFonts w:ascii="Times New Roman" w:eastAsia="Times New Roman" w:hAnsi="Times New Roman" w:cs="Times New Roman"/>
          <w:sz w:val="28"/>
          <w:szCs w:val="24"/>
        </w:rPr>
        <w:t xml:space="preserve">ый бюджет Ярославской области»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по форме, утвержденной приказом департамента финансов Ярославской области от 19.10.2021 № 45н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lastRenderedPageBreak/>
        <w:t>«Об утверждении типовой формы соглашения о предоставлении иного межбюджетного трансферта из областного бюджета бюджету муниципального образования области».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Соглашение заключается </w:t>
      </w:r>
      <w:bookmarkStart w:id="4" w:name="sub_1003408"/>
      <w:r w:rsidRPr="005E4323">
        <w:rPr>
          <w:rFonts w:ascii="Times New Roman" w:eastAsia="Times New Roman" w:hAnsi="Times New Roman" w:cs="Times New Roman"/>
          <w:sz w:val="28"/>
          <w:szCs w:val="24"/>
        </w:rPr>
        <w:t>в срок, установленный Бюджетным кодексом Российской Федерации.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10. Результатом предоставления иных межбюджетных трансфертов является </w:t>
      </w:r>
      <w:bookmarkStart w:id="5" w:name="sub_1003409"/>
      <w:bookmarkEnd w:id="4"/>
      <w:r w:rsidRPr="005E4323">
        <w:rPr>
          <w:rFonts w:ascii="Times New Roman" w:eastAsia="Times New Roman" w:hAnsi="Times New Roman" w:cs="Times New Roman"/>
          <w:sz w:val="28"/>
          <w:szCs w:val="24"/>
        </w:rPr>
        <w:t>количество благоустроенных исторических центров городов.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11. Предоставление иных межбюджетных трансфертов осуществляется в следующем порядке (с возможностью поэтапной оплаты работ, предусмотренной условиями контракта):</w:t>
      </w:r>
      <w:r w:rsidRPr="005E4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6" w:name="sub_1003492"/>
      <w:bookmarkEnd w:id="5"/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11.1. Перечисление иных межбюджетных трансфертов получателю осуществляется в пределах кассового плана областного бюджета, утвержденного на соответствующий квартал.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7" w:name="sub_1003493"/>
      <w:bookmarkEnd w:id="6"/>
      <w:r w:rsidRPr="005E4323">
        <w:rPr>
          <w:rFonts w:ascii="Times New Roman" w:eastAsia="Times New Roman" w:hAnsi="Times New Roman" w:cs="Times New Roman"/>
          <w:sz w:val="28"/>
          <w:szCs w:val="24"/>
        </w:rPr>
        <w:t>11.2. Перечисление иных межбюджетных трансфертов осуществляется в установленном порядке в доход бюджета муниципального образования в пределах лимитов бюджетных обязательств областного бюджета, предусмотренных законом Ярославской области об областном бюджете на соответствующий финансовый год и на плановый период,</w:t>
      </w:r>
      <w:r w:rsidRPr="005E4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на казначейский счет для осуществления и отражения операций по учету и распределению поступлений для последующего перечисления в местные бюджеты.  </w:t>
      </w:r>
      <w:bookmarkEnd w:id="7"/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 xml:space="preserve">12. Получатель представляет в </w:t>
      </w:r>
      <w:bookmarkStart w:id="8" w:name="_GoBack"/>
      <w:bookmarkEnd w:id="8"/>
      <w:proofErr w:type="spellStart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МСиЖКХ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ЯО </w:t>
      </w:r>
      <w:r w:rsidRPr="005E4323">
        <w:rPr>
          <w:rFonts w:ascii="Times New Roman" w:eastAsia="Times New Roman" w:hAnsi="Times New Roman" w:cs="Calibri"/>
          <w:sz w:val="28"/>
          <w:szCs w:val="28"/>
        </w:rPr>
        <w:t xml:space="preserve">заявку на перечисление иных межбюджетных трансфертов по форме согласно </w:t>
      </w:r>
      <w:proofErr w:type="gramStart"/>
      <w:r w:rsidRPr="005E4323">
        <w:rPr>
          <w:rFonts w:ascii="Times New Roman" w:eastAsia="Times New Roman" w:hAnsi="Times New Roman" w:cs="Calibri"/>
          <w:sz w:val="28"/>
          <w:szCs w:val="28"/>
        </w:rPr>
        <w:t>приложению</w:t>
      </w:r>
      <w:proofErr w:type="gramEnd"/>
      <w:r w:rsidRPr="005E4323">
        <w:rPr>
          <w:rFonts w:ascii="Times New Roman" w:eastAsia="Times New Roman" w:hAnsi="Times New Roman" w:cs="Calibri"/>
          <w:sz w:val="28"/>
          <w:szCs w:val="28"/>
        </w:rPr>
        <w:t xml:space="preserve"> к Методике и правилам, подписанную лицом, имеющим право действовать от имени руководителя органа местного самоуправления, на бумажном носителе, к которой прилагаются: </w:t>
      </w:r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>- копии контрактов (договоров)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</w:t>
      </w:r>
      <w:r w:rsidRPr="005E4323">
        <w:rPr>
          <w:rFonts w:ascii="Times New Roman" w:eastAsia="Times New Roman" w:hAnsi="Times New Roman" w:cs="Calibri"/>
          <w:sz w:val="28"/>
        </w:rPr>
        <w:t xml:space="preserve"> </w:t>
      </w:r>
      <w:r w:rsidRPr="005E4323">
        <w:rPr>
          <w:rFonts w:ascii="Times New Roman" w:eastAsia="Times New Roman" w:hAnsi="Times New Roman" w:cs="Calibri"/>
          <w:sz w:val="28"/>
          <w:szCs w:val="28"/>
        </w:rPr>
        <w:t>формирования комфортной городской среды);</w:t>
      </w:r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>- выписка из муниципальной программы формирования комфортной городской среды;</w:t>
      </w:r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>- копии справок о стоимости выполненных работ и затрат по форме КС</w:t>
      </w:r>
      <w:r w:rsidRPr="005E4323">
        <w:rPr>
          <w:rFonts w:ascii="Times New Roman" w:eastAsia="Times New Roman" w:hAnsi="Times New Roman" w:cs="Calibri"/>
          <w:sz w:val="28"/>
          <w:szCs w:val="28"/>
        </w:rPr>
        <w:noBreakHyphen/>
        <w:t>3, утвержденной постановлением Государственного комитета Российской Федерации по статистике от 11.11.1999 № 100 «Об утверждении унифицированных форм первичной учетной документации по учету работ в капитальном строительстве и ремонтно-строительных работ», акты о приемке выполненных работ по форме КС-2;</w:t>
      </w:r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>- товарная накладная, счет на оплату/ счет-фактура;</w:t>
      </w:r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>- гарантийные паспорта;</w:t>
      </w:r>
    </w:p>
    <w:p w:rsidR="005E4323" w:rsidRPr="005E4323" w:rsidRDefault="005E4323" w:rsidP="005E4323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5E4323">
        <w:rPr>
          <w:rFonts w:ascii="Times New Roman" w:eastAsia="Times New Roman" w:hAnsi="Times New Roman" w:cs="Calibri"/>
          <w:sz w:val="28"/>
          <w:szCs w:val="28"/>
        </w:rPr>
        <w:t xml:space="preserve">- счета на авансовые платежи по контрактам (договорам) на выполнение работ, оказание услуг, приобретение товаров (если соглашением и контрактом предусмотрена возможность авансирования контракта). </w:t>
      </w:r>
    </w:p>
    <w:p w:rsidR="005E4323" w:rsidRPr="005E4323" w:rsidRDefault="005E4323" w:rsidP="005E4323">
      <w:pPr>
        <w:shd w:val="clear" w:color="auto" w:fill="FFFFFF"/>
        <w:spacing w:after="0" w:line="233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10034012"/>
      <w:r w:rsidRPr="005E4323">
        <w:rPr>
          <w:rFonts w:ascii="Times New Roman" w:eastAsia="Times New Roman" w:hAnsi="Times New Roman" w:cs="Times New Roman"/>
          <w:sz w:val="28"/>
          <w:szCs w:val="28"/>
        </w:rPr>
        <w:t xml:space="preserve">13. Муниципальные образования представляют в 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МСиЖКХ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ЯО</w:t>
      </w:r>
      <w:r w:rsidRPr="005E43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E4323">
        <w:rPr>
          <w:rFonts w:ascii="Times New Roman" w:eastAsia="Times New Roman" w:hAnsi="Times New Roman" w:cs="Times New Roman"/>
          <w:sz w:val="28"/>
          <w:szCs w:val="28"/>
        </w:rPr>
        <w:t>отчеты по формам, установленным соглашением:</w:t>
      </w:r>
    </w:p>
    <w:p w:rsidR="005E4323" w:rsidRPr="005E4323" w:rsidRDefault="005E4323" w:rsidP="005E4323">
      <w:pPr>
        <w:shd w:val="clear" w:color="auto" w:fill="FFFFFF"/>
        <w:spacing w:after="0" w:line="233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4323">
        <w:rPr>
          <w:rFonts w:ascii="Times New Roman" w:eastAsia="Times New Roman" w:hAnsi="Times New Roman" w:cs="Times New Roman"/>
          <w:sz w:val="28"/>
          <w:szCs w:val="28"/>
        </w:rPr>
        <w:lastRenderedPageBreak/>
        <w:t>- отчет о расходах, в целях софинансирования которых предоставляются иные межбюджетные трансферты, – не позднее 10-го числа месяца, следующего за отчетным кварталом;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323">
        <w:rPr>
          <w:rFonts w:ascii="Times New Roman" w:eastAsia="Times New Roman" w:hAnsi="Times New Roman" w:cs="Times New Roman"/>
          <w:sz w:val="28"/>
          <w:szCs w:val="28"/>
        </w:rPr>
        <w:t>- отчет о достижении значений результатов предоставления иных межбюджетных трансфертов и об обязательствах, принятых в целях их достижения, – не позднее 20 января, следующего за годом, в котором были получены иные межбюджетные трансферты.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32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5E432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5E4323">
        <w:rPr>
          <w:rFonts w:ascii="Times New Roman" w:eastAsia="Times New Roman" w:hAnsi="Times New Roman" w:cs="Times New Roman"/>
          <w:sz w:val="28"/>
          <w:szCs w:val="28"/>
        </w:rPr>
        <w:t>. Обязательством муниципальных образований является включение в проектно-сметную документацию мероприятия по устройству площадок для сбора твердых коммунальных отходов в соответствии со стилевым единством архитектурно-художественного облика и цветового решения общественных пространств населенных пунктов Ярославской области.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bookmarkStart w:id="10" w:name="sub_10034013"/>
      <w:bookmarkEnd w:id="9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14. </w:t>
      </w:r>
      <w:bookmarkStart w:id="11" w:name="sub_10034014"/>
      <w:bookmarkEnd w:id="10"/>
      <w:r w:rsidRPr="005E4323">
        <w:rPr>
          <w:rFonts w:ascii="Times New Roman" w:eastAsia="Times New Roman" w:hAnsi="Times New Roman" w:cs="Calibri"/>
          <w:sz w:val="28"/>
        </w:rPr>
        <w:t>В случае уменьшения суммы предоставляемых получателю иных межбюджетных трансфертов в результате экономии, сложившейся по итогам проведения конкурентных процедур, средства используются муниципальными образованиями на выполнение аналогичных работ в соответствии с целевым назначением иных межбюджетных трансфертов.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15. </w:t>
      </w:r>
      <w:bookmarkEnd w:id="11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В случае если по состоянию на 01 января года, следующего за 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(частично или в полном объеме), при этом документы, указанные в пункте 12 Методики и правил, главному распорядителю средств областного бюджета представлены в отчетном году, 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неперечисленный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объем средств, потребность в котором сохраняется, подлежит перечислению в очередном году на те же цели без представления документов, указанных в пункте 12 Методики и правил.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Порядок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МЖКХ ЯО решения о наличии (об отсутствии) потребности в данных остатках, определен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 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В случае если муниципальным образованием по состоянию на 31 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в срок до 01 апреля года, следующего за годом предоставления иных межбюджетных трансфертов, должно вернуть в доход областного бюджета средства в объеме (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V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>возврата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>), определяемом по формуле: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V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>возврата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= (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V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>мт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× k × m / n) × 0,1,</w:t>
      </w: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где: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V</w:t>
      </w:r>
      <w:r w:rsidRPr="005E4323">
        <w:rPr>
          <w:rFonts w:ascii="Times New Roman" w:eastAsia="Times New Roman" w:hAnsi="Times New Roman" w:cs="Times New Roman"/>
          <w:sz w:val="28"/>
          <w:szCs w:val="24"/>
          <w:vertAlign w:val="subscript"/>
        </w:rPr>
        <w:t>мт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</w:t>
      </w: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k – коэффициент возврата иных межбюджетных трансфертов;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m – количество результатов предоставления иных межбюджетных трансфертов, по которым индекс, отражающий уровень недостижения i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noBreakHyphen/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го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> результата предоставления иных межбюджетных трансфертов, имеет положительное значение (больше нуля);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n – общее количество результатов предоставления иных межбюджетных трансфертов;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- 0,1 – понижающий коэффициент суммы возврата иных межбюджетных трансфертов.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Коэффициент возврата иных межбюджетных трансфертов (k) рассчитывается по формуле: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786F232D" wp14:editId="5AA55ACD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323" w:rsidRPr="005E4323" w:rsidRDefault="005E4323" w:rsidP="005E4323">
      <w:pPr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Di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– индекс, отражающий уровень недостижения i-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го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результата предоставления иных межбюджетных трансфертов.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4"/>
        </w:rPr>
        <w:t>го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4"/>
        </w:rPr>
        <w:t xml:space="preserve"> результата предоставления иных межбюджетных трансфертов.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Индекс, отражающий уровень недостижения i-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го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результата предоставления иных межбюджетных трансфертов (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Di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), определяется по формуле: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Di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= 1 - 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Ti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/ 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Si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,</w:t>
      </w: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</w:p>
    <w:p w:rsidR="005E4323" w:rsidRPr="005E4323" w:rsidRDefault="005E4323" w:rsidP="005E4323">
      <w:pPr>
        <w:spacing w:after="0" w:line="233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где: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- 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Ti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– фактически достигнутое значение i-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го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результата предоставления иных межбюджетных трансфертов на отчетную дату;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- 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Si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– плановое значение i-</w:t>
      </w:r>
      <w:proofErr w:type="spellStart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>го</w:t>
      </w:r>
      <w:proofErr w:type="spellEnd"/>
      <w:r w:rsidRPr="005E4323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результата предоставления иных межбюджетных трансфертов, установленное соглашением.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2" w:name="sub_10034015"/>
      <w:r w:rsidRPr="005E4323">
        <w:rPr>
          <w:rFonts w:ascii="Times New Roman" w:eastAsia="Times New Roman" w:hAnsi="Times New Roman" w:cs="Times New Roman"/>
          <w:sz w:val="28"/>
          <w:szCs w:val="24"/>
        </w:rPr>
        <w:t>16.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bookmarkEnd w:id="12"/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t>В случае нецелевого использования иных межбюджетных трансфертов к получателю применяются бюджетные меры принуждения, предусмотренные законодательством Российской Федерации.</w:t>
      </w:r>
    </w:p>
    <w:p w:rsidR="005E4323" w:rsidRPr="005E4323" w:rsidRDefault="005E4323" w:rsidP="005E432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E4323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17. Контроль за соблюдением условий предоставления иных межбюджетных трансфертов осуществляют </w:t>
      </w:r>
      <w:proofErr w:type="spellStart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МСиЖКХ</w:t>
      </w:r>
      <w:proofErr w:type="spellEnd"/>
      <w:r w:rsidRPr="005E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ЯО </w:t>
      </w:r>
      <w:r w:rsidRPr="005E4323">
        <w:rPr>
          <w:rFonts w:ascii="Times New Roman" w:eastAsia="Times New Roman" w:hAnsi="Times New Roman" w:cs="Times New Roman"/>
          <w:sz w:val="28"/>
          <w:szCs w:val="24"/>
        </w:rPr>
        <w:t>и органы государственного финансового контроля в соответствии с действующим законодательством.</w:t>
      </w:r>
    </w:p>
    <w:p w:rsidR="009F149F" w:rsidRDefault="009F149F"/>
    <w:sectPr w:rsidR="009F149F" w:rsidSect="00D2619A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323" w:rsidRDefault="005E4323" w:rsidP="005E4323">
      <w:pPr>
        <w:spacing w:after="0" w:line="240" w:lineRule="auto"/>
      </w:pPr>
      <w:r>
        <w:separator/>
      </w:r>
    </w:p>
  </w:endnote>
  <w:endnote w:type="continuationSeparator" w:id="0">
    <w:p w:rsidR="005E4323" w:rsidRDefault="005E4323" w:rsidP="005E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323" w:rsidRDefault="005E4323" w:rsidP="005E4323">
      <w:pPr>
        <w:spacing w:after="0" w:line="240" w:lineRule="auto"/>
      </w:pPr>
      <w:r>
        <w:separator/>
      </w:r>
    </w:p>
  </w:footnote>
  <w:footnote w:type="continuationSeparator" w:id="0">
    <w:p w:rsidR="005E4323" w:rsidRDefault="005E4323" w:rsidP="005E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5908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4323" w:rsidRPr="00D2619A" w:rsidRDefault="005E43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61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61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61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61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61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323"/>
    <w:rsid w:val="000C1BD3"/>
    <w:rsid w:val="0031583B"/>
    <w:rsid w:val="004E4AE4"/>
    <w:rsid w:val="005E4323"/>
    <w:rsid w:val="006303BB"/>
    <w:rsid w:val="0085031C"/>
    <w:rsid w:val="008C7318"/>
    <w:rsid w:val="0092145E"/>
    <w:rsid w:val="009F149F"/>
    <w:rsid w:val="00D2619A"/>
    <w:rsid w:val="00E5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3FC9"/>
  <w15:docId w15:val="{9669A4C5-AC9D-4A12-98EE-4D541830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3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4323"/>
  </w:style>
  <w:style w:type="paragraph" w:styleId="a7">
    <w:name w:val="footer"/>
    <w:basedOn w:val="a"/>
    <w:link w:val="a8"/>
    <w:uiPriority w:val="99"/>
    <w:unhideWhenUsed/>
    <w:rsid w:val="005E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4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Гусева Любовь Геннадьевна</dc:creator>
  <cp:lastModifiedBy>Овсянникова Евгения Владимировна</cp:lastModifiedBy>
  <cp:revision>3</cp:revision>
  <dcterms:created xsi:type="dcterms:W3CDTF">2025-04-03T08:20:00Z</dcterms:created>
  <dcterms:modified xsi:type="dcterms:W3CDTF">2025-04-03T18:00:00Z</dcterms:modified>
</cp:coreProperties>
</file>