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59" w:rsidRPr="00DA4985" w:rsidRDefault="00BE6459" w:rsidP="00C2549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DA4985">
        <w:rPr>
          <w:color w:val="000000"/>
          <w:sz w:val="28"/>
          <w:szCs w:val="28"/>
        </w:rPr>
        <w:t xml:space="preserve">Приложение </w:t>
      </w:r>
      <w:r w:rsidR="007A25E6" w:rsidRPr="00DA4985">
        <w:rPr>
          <w:color w:val="000000"/>
          <w:sz w:val="28"/>
          <w:szCs w:val="28"/>
        </w:rPr>
        <w:t>2</w:t>
      </w:r>
    </w:p>
    <w:p w:rsidR="00BE6459" w:rsidRPr="00DA4985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DA4985">
        <w:rPr>
          <w:color w:val="000000"/>
          <w:sz w:val="28"/>
          <w:szCs w:val="28"/>
        </w:rPr>
        <w:t>к Закону Ярославской области</w:t>
      </w:r>
    </w:p>
    <w:p w:rsidR="00BE6459" w:rsidRPr="00DA4985" w:rsidRDefault="006A1301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6A1301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BE6459" w:rsidRPr="00DA4985" w:rsidRDefault="00BE6459" w:rsidP="00BE6459">
      <w:pPr>
        <w:ind w:left="4395"/>
        <w:jc w:val="right"/>
        <w:rPr>
          <w:sz w:val="28"/>
          <w:szCs w:val="28"/>
        </w:rPr>
      </w:pPr>
    </w:p>
    <w:p w:rsidR="00BE6459" w:rsidRPr="00DA4985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DA4985">
        <w:rPr>
          <w:color w:val="000000"/>
          <w:sz w:val="28"/>
          <w:szCs w:val="28"/>
        </w:rPr>
        <w:t>"Приложение 4</w:t>
      </w:r>
    </w:p>
    <w:p w:rsidR="00BE6459" w:rsidRPr="00DA4985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DA4985">
        <w:rPr>
          <w:color w:val="000000"/>
          <w:sz w:val="28"/>
          <w:szCs w:val="28"/>
        </w:rPr>
        <w:t>к Закону Ярославской области</w:t>
      </w:r>
    </w:p>
    <w:p w:rsidR="003E5F5C" w:rsidRPr="00DA4985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DA4985">
        <w:rPr>
          <w:color w:val="000000"/>
          <w:sz w:val="28"/>
          <w:szCs w:val="28"/>
        </w:rPr>
        <w:t xml:space="preserve">от </w:t>
      </w:r>
      <w:r w:rsidR="00993079" w:rsidRPr="00DA4985">
        <w:rPr>
          <w:color w:val="000000"/>
          <w:sz w:val="28"/>
          <w:szCs w:val="28"/>
        </w:rPr>
        <w:t>09.12.2024</w:t>
      </w:r>
      <w:r w:rsidRPr="00DA4985">
        <w:rPr>
          <w:color w:val="000000"/>
          <w:sz w:val="28"/>
          <w:szCs w:val="28"/>
        </w:rPr>
        <w:t xml:space="preserve"> № </w:t>
      </w:r>
      <w:r w:rsidR="00993079" w:rsidRPr="00DA4985">
        <w:rPr>
          <w:color w:val="000000"/>
          <w:sz w:val="28"/>
          <w:szCs w:val="28"/>
        </w:rPr>
        <w:t>8</w:t>
      </w:r>
      <w:r w:rsidRPr="00DA4985">
        <w:rPr>
          <w:color w:val="000000"/>
          <w:sz w:val="28"/>
          <w:szCs w:val="28"/>
        </w:rPr>
        <w:t>8-з</w:t>
      </w:r>
    </w:p>
    <w:p w:rsidR="00BE6459" w:rsidRPr="00DA4985" w:rsidRDefault="00BE6459" w:rsidP="00BE6459">
      <w:pPr>
        <w:jc w:val="right"/>
        <w:rPr>
          <w:sz w:val="28"/>
          <w:szCs w:val="28"/>
        </w:rPr>
      </w:pPr>
    </w:p>
    <w:p w:rsidR="00BE6459" w:rsidRPr="00DA4985" w:rsidRDefault="00BE6459" w:rsidP="00BE6459">
      <w:pPr>
        <w:jc w:val="right"/>
        <w:rPr>
          <w:sz w:val="28"/>
          <w:szCs w:val="28"/>
        </w:rPr>
      </w:pPr>
    </w:p>
    <w:p w:rsidR="00BE6459" w:rsidRPr="00DA4985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 w:rsidRPr="00DA4985">
        <w:rPr>
          <w:b/>
          <w:bCs/>
          <w:color w:val="000000"/>
          <w:sz w:val="28"/>
          <w:szCs w:val="28"/>
        </w:rPr>
        <w:t>Прогнозируемые доходы областного бюджета на 202</w:t>
      </w:r>
      <w:r w:rsidR="00663990" w:rsidRPr="00DA4985">
        <w:rPr>
          <w:b/>
          <w:bCs/>
          <w:color w:val="000000"/>
          <w:sz w:val="28"/>
          <w:szCs w:val="28"/>
        </w:rPr>
        <w:t>5</w:t>
      </w:r>
      <w:r w:rsidRPr="00DA4985">
        <w:rPr>
          <w:b/>
          <w:bCs/>
          <w:color w:val="000000"/>
          <w:sz w:val="28"/>
          <w:szCs w:val="28"/>
        </w:rPr>
        <w:t xml:space="preserve"> год в соответствии </w:t>
      </w:r>
    </w:p>
    <w:p w:rsidR="00BE6459" w:rsidRPr="00DA4985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 w:rsidRPr="00DA4985"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BE6459" w:rsidRPr="00DA4985" w:rsidRDefault="00BE6459" w:rsidP="00BE645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1623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  <w:gridCol w:w="1984"/>
      </w:tblGrid>
      <w:tr w:rsidR="00F27910" w:rsidRPr="00DA4985" w:rsidTr="000036D2">
        <w:trPr>
          <w:gridAfter w:val="1"/>
          <w:wAfter w:w="1984" w:type="dxa"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A4985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A4985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A4985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F27910" w:rsidRPr="00DA4985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A498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128 452 532 814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68 892 727 000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30 202 654 000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38 690 073 000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20 635 063 700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20 635 063 700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11 289 402 000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10 864 887 000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424 515 000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9 541 203 000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7 805 379 000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1 734 144 000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29 787 000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22 872 000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6 915 000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172 377 856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984 131 570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33 930 000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22 383 454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6B02B3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</w:t>
            </w:r>
            <w:r w:rsidR="006B02B3" w:rsidRPr="00DA4985">
              <w:rPr>
                <w:color w:val="000000"/>
                <w:sz w:val="24"/>
                <w:szCs w:val="24"/>
              </w:rPr>
              <w:t> </w:t>
            </w:r>
            <w:r w:rsidRPr="00DA4985">
              <w:rPr>
                <w:color w:val="000000"/>
                <w:sz w:val="24"/>
                <w:szCs w:val="24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927 420 966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297 100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198 872 000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139 680 000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3 629 348 939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8 500 622 270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4 573 599 479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F27910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7910" w:rsidRPr="00DA4985" w:rsidRDefault="00F27910" w:rsidP="00F27910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DA4985" w:rsidRDefault="00F27910" w:rsidP="00F27910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9F6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16 559 </w:t>
            </w:r>
            <w:r w:rsidR="009F6876" w:rsidRPr="00DA4985">
              <w:rPr>
                <w:b/>
                <w:bCs/>
                <w:color w:val="000000"/>
                <w:sz w:val="24"/>
                <w:szCs w:val="24"/>
              </w:rPr>
              <w:t>021</w:t>
            </w:r>
            <w:r w:rsidRPr="00DA4985">
              <w:rPr>
                <w:b/>
                <w:bCs/>
                <w:color w:val="000000"/>
                <w:sz w:val="24"/>
                <w:szCs w:val="24"/>
              </w:rPr>
              <w:t> 853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9F6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16 282 35</w:t>
            </w:r>
            <w:r w:rsidR="009F6876" w:rsidRPr="00DA4985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DA4985">
              <w:rPr>
                <w:b/>
                <w:bCs/>
                <w:color w:val="000000"/>
                <w:sz w:val="24"/>
                <w:szCs w:val="24"/>
              </w:rPr>
              <w:t>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13 008 273 700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19 702 800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228 424 500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000 2 02 25052 02 0000 150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117 776 200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Субсидия бюджету Ярославской области на софинансирование расходных обязательств, возникающих при проведении работ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151 101 300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380 200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4 997 900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72 421 200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97 038 400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219 000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000 2 02 25107 02 0000 150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 с сахарным диабетом 1 типа в возрасте от 2</w:t>
            </w:r>
            <w:r w:rsidRPr="00DA4985">
              <w:rPr>
                <w:color w:val="000000"/>
                <w:sz w:val="24"/>
                <w:szCs w:val="24"/>
              </w:rPr>
              <w:noBreakHyphen/>
              <w:t>х до 17-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ти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61 979 000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497 964 600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106 137 100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48 056 000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340 843 400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000 2 02 25158 02 0000 150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9 771 300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115 145 300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71 247 600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31 439 900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11 477 800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 w:rsidRPr="00DA4985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DA498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51 895 600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 xml:space="preserve">рассеянным склерозом,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 (фибриногена), VII (лабильного), X (Стюарта</w:t>
            </w:r>
            <w:proofErr w:type="gramEnd"/>
            <w:r w:rsidRPr="00DA4985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DA4985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4 752 400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8 147 000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12 422 600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2 190 000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13 926 900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6 406 000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бесплатного горячего питания обучающихся, получающих начальное общее образование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525 570 700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000 2 02 25313 02 0000 150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252 249 800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26 426 800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11 680 000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18 161 300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4 675 100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1 307 932 100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122 958 400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15 394 300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000 2 02 25401 02 0000 150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378 727 800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119 523 400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306 347 000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>) "Регион добрых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7 952 800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43 915 000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232 033 500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7 302 200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3 038 818 900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59 520 000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10 357 400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8 707 600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10 177 000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331 900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29 409 000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66 869 100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15 650 100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13 303 300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30 834 500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30 375 700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8 189 400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000 2 02 25546 02 0000 150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5 152 200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000 2 02 25553 02 0000 150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7 155 600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322 822 500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191 733 400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162 355 200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21 888 000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DA4985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DA4985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133 099 900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13 850 900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42 751 900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16 185 600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11 209 400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646 219 000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000 2 02 25755 02 0000 150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540362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926 837 900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32 404 900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2 099 483 800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182 680 300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 12 января 1995 года № 5-ФЗ "О 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122DB7">
              <w:rPr>
                <w:color w:val="000000"/>
                <w:spacing w:val="-2"/>
                <w:sz w:val="24"/>
                <w:szCs w:val="24"/>
              </w:rPr>
              <w:t>Субвенции бюджетам субъектов Российской</w:t>
            </w:r>
            <w:r w:rsidRPr="00DA4985">
              <w:rPr>
                <w:color w:val="000000"/>
                <w:sz w:val="24"/>
                <w:szCs w:val="24"/>
              </w:rPr>
              <w:t xml:space="preserve"> Федерации на осуществление полномочий по обеспечению жильем отдельных категорий граждан, устан</w:t>
            </w:r>
            <w:r w:rsidR="00122DB7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 w:rsidRPr="00DA4985">
              <w:rPr>
                <w:color w:val="000000"/>
                <w:sz w:val="24"/>
                <w:szCs w:val="24"/>
              </w:rPr>
              <w:t>24 ноября 1995 года № 181-ФЗ "О 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165 789 800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</w:t>
            </w:r>
            <w:r w:rsidRPr="00122DB7">
              <w:rPr>
                <w:color w:val="000000"/>
                <w:spacing w:val="-2"/>
                <w:sz w:val="24"/>
                <w:szCs w:val="24"/>
              </w:rPr>
              <w:t>компенсации гражданам при возникновении</w:t>
            </w:r>
            <w:r w:rsidRPr="00DA4985">
              <w:rPr>
                <w:color w:val="000000"/>
                <w:sz w:val="24"/>
                <w:szCs w:val="24"/>
              </w:rPr>
              <w:t xml:space="preserve"> поствакцинальных осложнений в соответствии с Федеральным законом </w:t>
            </w:r>
            <w:r w:rsidR="00122DB7">
              <w:rPr>
                <w:color w:val="000000"/>
                <w:sz w:val="24"/>
                <w:szCs w:val="24"/>
              </w:rPr>
              <w:br/>
            </w:r>
            <w:r w:rsidRPr="00DA4985">
              <w:rPr>
                <w:color w:val="000000"/>
                <w:sz w:val="24"/>
                <w:szCs w:val="24"/>
              </w:rPr>
              <w:t xml:space="preserve">от 17 </w:t>
            </w:r>
            <w:r w:rsidR="00122DB7">
              <w:rPr>
                <w:color w:val="000000"/>
                <w:sz w:val="24"/>
                <w:szCs w:val="24"/>
              </w:rPr>
              <w:t>сентября 1998 года № 157</w:t>
            </w:r>
            <w:r w:rsidR="00122DB7">
              <w:rPr>
                <w:color w:val="000000"/>
                <w:sz w:val="24"/>
                <w:szCs w:val="24"/>
              </w:rPr>
              <w:noBreakHyphen/>
              <w:t>ФЗ "Об </w:t>
            </w:r>
            <w:r w:rsidRPr="00DA4985"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 w:rsidRPr="00DA498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DA4985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DA4985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DA4985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 xml:space="preserve">Единая субвенция бюджетам субъектов Российской Федерации и бюджету города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122 360 900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9F6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1 174 59</w:t>
            </w:r>
            <w:r w:rsidR="009F6876" w:rsidRPr="00DA4985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DA4985">
              <w:rPr>
                <w:b/>
                <w:bCs/>
                <w:color w:val="000000"/>
                <w:sz w:val="24"/>
                <w:szCs w:val="24"/>
              </w:rPr>
              <w:t xml:space="preserve"> 500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9F6876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2</w:t>
            </w:r>
            <w:r w:rsidR="009F6876" w:rsidRPr="00DA4985">
              <w:rPr>
                <w:color w:val="000000"/>
                <w:sz w:val="24"/>
                <w:szCs w:val="24"/>
              </w:rPr>
              <w:t>6</w:t>
            </w:r>
            <w:r w:rsidRPr="00DA4985">
              <w:rPr>
                <w:color w:val="000000"/>
                <w:sz w:val="24"/>
                <w:szCs w:val="24"/>
              </w:rPr>
              <w:t>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DA4985"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761 279 400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proofErr w:type="gramStart"/>
            <w:r w:rsidRPr="00DA4985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162 080 400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158 504 743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158 504 743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lastRenderedPageBreak/>
              <w:t>000 2 04 02000 02 0000 150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117 441 110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117 441 110</w:t>
            </w:r>
          </w:p>
        </w:tc>
      </w:tr>
      <w:tr w:rsidR="002B369F" w:rsidRPr="00DA4985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2B369F" w:rsidP="002B369F">
            <w:pPr>
              <w:jc w:val="right"/>
              <w:rPr>
                <w:color w:val="000000"/>
                <w:sz w:val="24"/>
                <w:szCs w:val="24"/>
              </w:rPr>
            </w:pPr>
            <w:r w:rsidRPr="00DA4985">
              <w:rPr>
                <w:color w:val="000000"/>
                <w:sz w:val="24"/>
                <w:szCs w:val="24"/>
              </w:rPr>
              <w:t>117 441 110</w:t>
            </w:r>
          </w:p>
        </w:tc>
      </w:tr>
      <w:tr w:rsidR="002B369F" w:rsidTr="000036D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69F" w:rsidRPr="00DA4985" w:rsidRDefault="002B369F" w:rsidP="002B369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369F" w:rsidRPr="00DA4985" w:rsidRDefault="00F750A3" w:rsidP="009F68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A4985">
              <w:rPr>
                <w:b/>
                <w:bCs/>
                <w:color w:val="000000"/>
                <w:sz w:val="24"/>
                <w:szCs w:val="24"/>
              </w:rPr>
              <w:t>145 011 5</w:t>
            </w:r>
            <w:r w:rsidR="009F6876" w:rsidRPr="00DA4985">
              <w:rPr>
                <w:b/>
                <w:bCs/>
                <w:color w:val="000000"/>
                <w:sz w:val="24"/>
                <w:szCs w:val="24"/>
              </w:rPr>
              <w:t>54</w:t>
            </w:r>
            <w:r w:rsidRPr="00DA4985">
              <w:rPr>
                <w:b/>
                <w:bCs/>
                <w:color w:val="000000"/>
                <w:sz w:val="24"/>
                <w:szCs w:val="24"/>
              </w:rPr>
              <w:t xml:space="preserve"> 667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B369F" w:rsidRPr="000036D2" w:rsidRDefault="002B369F" w:rsidP="002B369F">
            <w:pPr>
              <w:rPr>
                <w:bCs/>
                <w:color w:val="000000"/>
                <w:sz w:val="24"/>
                <w:szCs w:val="24"/>
              </w:rPr>
            </w:pPr>
            <w:r w:rsidRPr="00DA498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5450D" w:rsidRDefault="0055450D"/>
    <w:sectPr w:rsidR="0055450D" w:rsidSect="00122DB7">
      <w:headerReference w:type="default" r:id="rId7"/>
      <w:footerReference w:type="default" r:id="rId8"/>
      <w:headerReference w:type="first" r:id="rId9"/>
      <w:pgSz w:w="11905" w:h="16837"/>
      <w:pgMar w:top="1134" w:right="567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27" w:rsidRDefault="001E2627">
      <w:r>
        <w:separator/>
      </w:r>
    </w:p>
  </w:endnote>
  <w:endnote w:type="continuationSeparator" w:id="0">
    <w:p w:rsidR="001E2627" w:rsidRDefault="001E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7E4D9B">
      <w:tc>
        <w:tcPr>
          <w:tcW w:w="9854" w:type="dxa"/>
        </w:tcPr>
        <w:p w:rsidR="007E4D9B" w:rsidRDefault="007E4D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E4D9B" w:rsidRDefault="007E4D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27" w:rsidRDefault="001E2627">
      <w:r>
        <w:separator/>
      </w:r>
    </w:p>
  </w:footnote>
  <w:footnote w:type="continuationSeparator" w:id="0">
    <w:p w:rsidR="001E2627" w:rsidRDefault="001E2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8490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E4D9B" w:rsidRPr="00122DB7" w:rsidRDefault="007E4D9B">
        <w:pPr>
          <w:pStyle w:val="a4"/>
          <w:jc w:val="center"/>
          <w:rPr>
            <w:sz w:val="28"/>
            <w:szCs w:val="28"/>
          </w:rPr>
        </w:pPr>
        <w:r w:rsidRPr="00122DB7">
          <w:rPr>
            <w:sz w:val="28"/>
            <w:szCs w:val="28"/>
          </w:rPr>
          <w:fldChar w:fldCharType="begin"/>
        </w:r>
        <w:r w:rsidRPr="00122DB7">
          <w:rPr>
            <w:sz w:val="28"/>
            <w:szCs w:val="28"/>
          </w:rPr>
          <w:instrText>PAGE   \* MERGEFORMAT</w:instrText>
        </w:r>
        <w:r w:rsidRPr="00122DB7">
          <w:rPr>
            <w:sz w:val="28"/>
            <w:szCs w:val="28"/>
          </w:rPr>
          <w:fldChar w:fldCharType="separate"/>
        </w:r>
        <w:r w:rsidR="006A1301">
          <w:rPr>
            <w:noProof/>
            <w:sz w:val="28"/>
            <w:szCs w:val="28"/>
          </w:rPr>
          <w:t>18</w:t>
        </w:r>
        <w:r w:rsidRPr="00122DB7">
          <w:rPr>
            <w:sz w:val="28"/>
            <w:szCs w:val="28"/>
          </w:rPr>
          <w:fldChar w:fldCharType="end"/>
        </w:r>
      </w:p>
    </w:sdtContent>
  </w:sdt>
  <w:p w:rsidR="007E4D9B" w:rsidRDefault="007E4D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E262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5C"/>
    <w:rsid w:val="000036D2"/>
    <w:rsid w:val="000334CD"/>
    <w:rsid w:val="00061E73"/>
    <w:rsid w:val="00122DB7"/>
    <w:rsid w:val="001C7AA5"/>
    <w:rsid w:val="001E2627"/>
    <w:rsid w:val="00247C7B"/>
    <w:rsid w:val="002A19A2"/>
    <w:rsid w:val="002B369F"/>
    <w:rsid w:val="00343D72"/>
    <w:rsid w:val="003729D0"/>
    <w:rsid w:val="003D115B"/>
    <w:rsid w:val="003D57A2"/>
    <w:rsid w:val="003E5F5C"/>
    <w:rsid w:val="004A4A73"/>
    <w:rsid w:val="00540362"/>
    <w:rsid w:val="0055450D"/>
    <w:rsid w:val="005A4FC3"/>
    <w:rsid w:val="00614C1D"/>
    <w:rsid w:val="00663990"/>
    <w:rsid w:val="006A1301"/>
    <w:rsid w:val="006B02B3"/>
    <w:rsid w:val="006B7338"/>
    <w:rsid w:val="007A25E6"/>
    <w:rsid w:val="007E4D9B"/>
    <w:rsid w:val="00805DF3"/>
    <w:rsid w:val="00846D27"/>
    <w:rsid w:val="00856902"/>
    <w:rsid w:val="00895728"/>
    <w:rsid w:val="008A6DFB"/>
    <w:rsid w:val="00922AB4"/>
    <w:rsid w:val="00993079"/>
    <w:rsid w:val="009F6876"/>
    <w:rsid w:val="00A95517"/>
    <w:rsid w:val="00B02B9B"/>
    <w:rsid w:val="00BB158C"/>
    <w:rsid w:val="00BE6459"/>
    <w:rsid w:val="00C00D19"/>
    <w:rsid w:val="00C2549E"/>
    <w:rsid w:val="00CF619D"/>
    <w:rsid w:val="00D74B76"/>
    <w:rsid w:val="00DA4985"/>
    <w:rsid w:val="00DD214C"/>
    <w:rsid w:val="00E81C0D"/>
    <w:rsid w:val="00F27910"/>
    <w:rsid w:val="00F350A7"/>
    <w:rsid w:val="00F61DD1"/>
    <w:rsid w:val="00F750A3"/>
    <w:rsid w:val="00FC12DA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3</cp:revision>
  <cp:lastPrinted>2025-04-04T08:01:00Z</cp:lastPrinted>
  <dcterms:created xsi:type="dcterms:W3CDTF">2025-04-15T13:48:00Z</dcterms:created>
  <dcterms:modified xsi:type="dcterms:W3CDTF">2025-04-18T05:35:00Z</dcterms:modified>
</cp:coreProperties>
</file>